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1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ind w:right="3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3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Порядок подачи, регистрации заявлений на участие </w:t>
        <w:br/>
        <w:t xml:space="preserve">в написании итогового сочинения (изложения)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br/>
        <w:t xml:space="preserve"> Ханты-Мансийского автономного округа – Югры </w:t>
        <w:br/>
        <w:t xml:space="preserve">в 2025/2026 учебному году</w:t>
      </w:r>
      <w:r>
        <w:rPr>
          <w:sz w:val="28"/>
          <w:szCs w:val="28"/>
        </w:rPr>
        <w:t xml:space="preserve"> (далее – порядок)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keepNext/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Для участия в написании итогового сочинения (изложения) </w:t>
        <w:br/>
        <w:t xml:space="preserve">на территории Ханты-Мансийского автономного округа – Югры </w:t>
        <w:br/>
        <w:t xml:space="preserve">в 2025/2026 учебном году подача заявлений осуществляется: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Обучающимися, завершающими освоение основных образовательных программ среднего общего образования </w:t>
      </w:r>
      <w:r>
        <w:rPr>
          <w:sz w:val="28"/>
          <w:szCs w:val="28"/>
        </w:rPr>
        <w:t xml:space="preserve">– в </w:t>
      </w:r>
      <w:r>
        <w:rPr>
          <w:sz w:val="28"/>
          <w:szCs w:val="28"/>
        </w:rPr>
        <w:t xml:space="preserve">организации, осуществляющие образовательную деятельность по имеющим государственную аккредитацию образовательным програм</w:t>
      </w:r>
      <w:r>
        <w:rPr>
          <w:sz w:val="28"/>
          <w:szCs w:val="28"/>
        </w:rPr>
        <w:t xml:space="preserve">мам среднего общего образования</w:t>
      </w:r>
      <w:r>
        <w:rPr>
          <w:sz w:val="28"/>
          <w:szCs w:val="28"/>
        </w:rPr>
        <w:t xml:space="preserve"> (далее – общеобразовательные организации), в которых обучающиеся осваивают основные образовательные программы</w:t>
      </w:r>
      <w:r>
        <w:rPr>
          <w:sz w:val="28"/>
          <w:szCs w:val="28"/>
        </w:rPr>
        <w:t xml:space="preserve"> среднего общего образования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Лицами, осваивающими образовательные программы среднего общего образования в форме самообразования или семейного образования,</w:t>
      </w:r>
      <w:r>
        <w:rPr>
          <w:sz w:val="28"/>
          <w:szCs w:val="28"/>
        </w:rPr>
        <w:t xml:space="preserve"> лицами, обучавшимися по не имеющим государственной аккредитации образовательным программам среднего общего образования, зачисляемыми в общеобразовательные организации </w:t>
      </w:r>
      <w:r>
        <w:rPr>
          <w:sz w:val="28"/>
          <w:szCs w:val="28"/>
        </w:rPr>
        <w:t xml:space="preserve">для прохождения экстерном государственной итоговой аттестации по образовательным программам среднего общего образования (далее – ГИА-11, экстерны) </w:t>
        <w:br/>
      </w:r>
      <w:r>
        <w:rPr>
          <w:sz w:val="28"/>
          <w:szCs w:val="28"/>
        </w:rPr>
        <w:t xml:space="preserve">– в общеобразовательные организации, выбранные экстерном для прохождения ГИА-11.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Лицами, освоившими образовательные программы среднего общего образования в предыдущие годы, имеющими документ </w:t>
        <w:br/>
        <w:t xml:space="preserve">об образовании, подтверждающий получение среднего общего образования (или образовательные программы среднего (полного) общего образования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для лиц, по</w:t>
      </w:r>
      <w:r>
        <w:rPr>
          <w:sz w:val="28"/>
          <w:szCs w:val="28"/>
        </w:rPr>
        <w:t xml:space="preserve">лучивши</w:t>
      </w:r>
      <w:r>
        <w:rPr>
          <w:sz w:val="28"/>
          <w:szCs w:val="28"/>
        </w:rPr>
        <w:t xml:space="preserve">х документ об образовании, подтверждающий получение среднего (полного) общего образования, </w:t>
        <w:br/>
        <w:t xml:space="preserve">до 01.09.2013) и (или) подтверждающий получение среднего профессионального образования, а также лицами, имеющими среднее общее образование, полученное в и</w:t>
      </w:r>
      <w:r>
        <w:rPr>
          <w:sz w:val="28"/>
          <w:szCs w:val="28"/>
        </w:rPr>
        <w:t xml:space="preserve">ностранных организациях, осуществляющих образовательную деятельность</w:t>
      </w:r>
      <w:r>
        <w:rPr>
          <w:sz w:val="28"/>
          <w:szCs w:val="28"/>
        </w:rPr>
        <w:t xml:space="preserve">, л</w:t>
      </w:r>
      <w:r>
        <w:rPr>
          <w:sz w:val="28"/>
          <w:szCs w:val="28"/>
        </w:rPr>
        <w:t xml:space="preserve">ицами, обучающимися по образовательным программам среднего профессионального образования</w:t>
      </w:r>
      <w:r>
        <w:rPr>
          <w:sz w:val="28"/>
          <w:szCs w:val="28"/>
        </w:rPr>
        <w:t xml:space="preserve">, обучающимися, получающими среднее общее образование </w:t>
        <w:br/>
        <w:t xml:space="preserve">в иностранных организациях, осуществляющих образовательную деятельность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лицами, допущенными к ГИА-11 в предыдущие годы, </w:t>
        <w:br/>
        <w:t xml:space="preserve">но не </w:t>
      </w:r>
      <w:r>
        <w:rPr>
          <w:sz w:val="28"/>
          <w:szCs w:val="28"/>
        </w:rPr>
        <w:t xml:space="preserve">прошедшими ГИА-11 или получившими на ГИА-11 </w:t>
      </w:r>
      <w:r>
        <w:rPr>
          <w:sz w:val="28"/>
          <w:szCs w:val="28"/>
        </w:rPr>
        <w:t xml:space="preserve">неудовлетворительные результаты более чем по одному </w:t>
      </w:r>
      <w:r>
        <w:rPr>
          <w:sz w:val="28"/>
          <w:szCs w:val="28"/>
        </w:rPr>
        <w:t xml:space="preserve">обязательному учебному предмету, либо получившими </w:t>
      </w:r>
      <w:r>
        <w:rPr>
          <w:sz w:val="28"/>
          <w:szCs w:val="28"/>
        </w:rPr>
        <w:t xml:space="preserve">повторно неудовлетворительный результат по одному из </w:t>
      </w:r>
      <w:r>
        <w:rPr>
          <w:sz w:val="28"/>
          <w:szCs w:val="28"/>
        </w:rPr>
        <w:t xml:space="preserve">этих предметов на ГИА-11 в дополнительный период, которым </w:t>
      </w:r>
      <w:r>
        <w:rPr>
          <w:sz w:val="28"/>
          <w:szCs w:val="28"/>
        </w:rPr>
        <w:t xml:space="preserve">выдается справка об обучении или о периоде обучения </w:t>
        <w:br/>
        <w:t xml:space="preserve">по образцу, самостоятельно устанавливаемому общеобразовательной организацией</w:t>
      </w:r>
      <w:r>
        <w:rPr>
          <w:sz w:val="28"/>
          <w:szCs w:val="28"/>
        </w:rPr>
        <w:t xml:space="preserve"> (далее – лица со справкой об обучении),
</w:t>
      </w:r>
      <w:r>
        <w:rPr>
          <w:sz w:val="28"/>
          <w:szCs w:val="28"/>
        </w:rPr>
        <w:t xml:space="preserve">изъявившими желание участвовать в написании итогового сочинения (изложения) </w:t>
        <w:br/>
        <w:t xml:space="preserve">в целях его использования при приеме на</w:t>
      </w:r>
      <w:r>
        <w:rPr>
          <w:sz w:val="28"/>
          <w:szCs w:val="28"/>
        </w:rPr>
        <w:t xml:space="preserve"> обучение </w:t>
        <w:br/>
        <w:t xml:space="preserve">по программам </w:t>
      </w:r>
      <w:r>
        <w:rPr>
          <w:sz w:val="28"/>
          <w:szCs w:val="28"/>
        </w:rPr>
        <w:t xml:space="preserve">бакалавриата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специалитета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общеобразовательные организации высшего образования – в </w:t>
      </w:r>
      <w:r>
        <w:rPr>
          <w:rFonts w:ascii="Times New Roman" w:hAnsi="Times New Roman"/>
          <w:sz w:val="28"/>
          <w:szCs w:val="28"/>
          <w:highlight w:val="none"/>
        </w:rPr>
        <w:t xml:space="preserve">структурные подразделения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исполнительно-распорядительных органов городских округов, муниципальных районов Ханты-Мансийского автономного округа </w:t>
        <w:br/>
        <w:t xml:space="preserve">– Югры, курирующих вопросы образования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Заявления подаются не позднее, чем за две недели до начала проведения итогового сочинения (изложения) </w:t>
      </w:r>
      <w:r>
        <w:rPr>
          <w:bCs/>
          <w:sz w:val="28"/>
          <w:szCs w:val="28"/>
        </w:rPr>
        <w:t xml:space="preserve">при предъявлении</w:t>
      </w:r>
      <w:r>
        <w:rPr>
          <w:bCs/>
          <w:sz w:val="28"/>
          <w:szCs w:val="28"/>
        </w:rPr>
        <w:t xml:space="preserve"> документа, удостоверяющего </w:t>
      </w:r>
      <w:r>
        <w:rPr>
          <w:bCs/>
          <w:sz w:val="28"/>
          <w:szCs w:val="28"/>
        </w:rPr>
        <w:t xml:space="preserve">личность участника итогового сочинения (изложения).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подаче заявлений </w:t>
      </w:r>
      <w:r>
        <w:rPr>
          <w:sz w:val="28"/>
          <w:szCs w:val="28"/>
          <w:highlight w:val="none"/>
        </w:rPr>
        <w:t xml:space="preserve">об участии в итоговом сочинении (изложении) лицами, указанными в подпунктах 1.1, 1.2, 1.3</w:t>
      </w:r>
      <w:r>
        <w:rPr>
          <w:sz w:val="28"/>
          <w:szCs w:val="28"/>
          <w:highlight w:val="none"/>
        </w:rPr>
        <w:t xml:space="preserve"> пункта 1 порядка</w:t>
      </w:r>
      <w:r>
        <w:rPr>
          <w:sz w:val="28"/>
          <w:szCs w:val="28"/>
          <w:highlight w:val="none"/>
        </w:rPr>
        <w:t xml:space="preserve">, являющимися лицами с ограниченными возможностями здоровья (далее </w:t>
        <w:br/>
        <w:t xml:space="preserve">– лица с ОВЗ), детьми</w:t>
      </w:r>
      <w:r>
        <w:rPr>
          <w:sz w:val="28"/>
          <w:szCs w:val="28"/>
          <w:highlight w:val="none"/>
        </w:rPr>
        <w:t xml:space="preserve">-инвалидами, инвалидами,</w:t>
      </w:r>
      <w:r>
        <w:rPr>
          <w:sz w:val="28"/>
          <w:szCs w:val="28"/>
          <w:highlight w:val="none"/>
        </w:rPr>
        <w:t xml:space="preserve"> предъявляется заключение психолого-медико-педагогической комиссии (далее – ПМПК), содержащее соответствующие рекомендации (для лиц с ОВЗ), </w:t>
      </w:r>
      <w:r>
        <w:rPr>
          <w:sz w:val="28"/>
          <w:szCs w:val="28"/>
          <w:highlight w:val="none"/>
        </w:rPr>
        <w:t xml:space="preserve">оригинал </w:t>
        <w:br/>
        <w:t xml:space="preserve">или надлежащим образом заверенная копия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sz w:val="28"/>
          <w:szCs w:val="28"/>
          <w:highlight w:val="none"/>
        </w:rPr>
        <w:t xml:space="preserve"> (далее </w:t>
        <w:br/>
        <w:t xml:space="preserve">– </w:t>
      </w:r>
      <w:r>
        <w:rPr>
          <w:sz w:val="28"/>
          <w:szCs w:val="28"/>
          <w:highlight w:val="none"/>
        </w:rPr>
        <w:t xml:space="preserve">справка, </w:t>
      </w:r>
      <w:r>
        <w:rPr>
          <w:sz w:val="28"/>
          <w:szCs w:val="28"/>
          <w:highlight w:val="none"/>
        </w:rPr>
        <w:t xml:space="preserve">подтверждающая инвалидность) </w:t>
      </w:r>
      <w:r>
        <w:rPr>
          <w:sz w:val="28"/>
          <w:szCs w:val="28"/>
          <w:highlight w:val="none"/>
        </w:rPr>
        <w:t xml:space="preserve">(для детей-инвалидов, инвалидов).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Лица, указанные в подпункте 1.3 пункта 1 </w:t>
      </w:r>
      <w:r>
        <w:rPr>
          <w:sz w:val="28"/>
          <w:szCs w:val="28"/>
        </w:rPr>
        <w:t xml:space="preserve">порядка, самостоятельно выбирают дату участия в написании итогового сочинения из дат, в которые запланировано проведение итогового сочинения (изложения) в 2025/2026 учебном году: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- 03.12.2025 (</w:t>
      </w:r>
      <w:r>
        <w:rPr>
          <w:sz w:val="28"/>
          <w:szCs w:val="28"/>
        </w:rPr>
        <w:t xml:space="preserve">в первую среду декабря </w:t>
      </w:r>
      <w:r>
        <w:rPr>
          <w:sz w:val="28"/>
          <w:szCs w:val="28"/>
        </w:rPr>
        <w:t xml:space="preserve">– основная дата проведения итогового сочинения (изложения));</w:t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- 04.02.2026 (первая среда февраля – дополнительная дата);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- 08.04.2026 (вторая среда апреля – дополнительная дата).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Выбранную дату указывают</w:t>
      </w:r>
      <w:r>
        <w:rPr>
          <w:sz w:val="28"/>
          <w:szCs w:val="28"/>
        </w:rPr>
        <w:t xml:space="preserve"> в заявлении.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4. </w:t>
      </w:r>
      <w:r>
        <w:rPr>
          <w:sz w:val="28"/>
          <w:szCs w:val="28"/>
        </w:rPr>
        <w:t xml:space="preserve">Подача заявлений на участие в написании итогового сочинения (изложения) осуществляется: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В очном формате (далее – традиционный способ) в места </w:t>
      </w:r>
      <w:r>
        <w:rPr>
          <w:sz w:val="28"/>
          <w:szCs w:val="28"/>
        </w:rPr>
        <w:t xml:space="preserve">регистрации заявлений для участия в написании итогового сочинения (изложения) на территории Ханты-Мансийского автономного округа </w:t>
        <w:br/>
        <w:t xml:space="preserve">– Югры в 2025/2026 учебном году</w:t>
      </w:r>
      <w:r>
        <w:rPr>
          <w:sz w:val="28"/>
          <w:szCs w:val="28"/>
        </w:rPr>
        <w:t xml:space="preserve">, утверждаемые приказом Департамента образования и науки Ханты-Мансийского автономного округа – Югры (далее – Департамент).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4.2. В д</w:t>
      </w:r>
      <w:r>
        <w:rPr>
          <w:bCs/>
          <w:sz w:val="28"/>
          <w:szCs w:val="28"/>
        </w:rPr>
        <w:t xml:space="preserve">истанционном формате </w:t>
      </w:r>
      <w:r>
        <w:rPr>
          <w:bCs/>
          <w:sz w:val="28"/>
          <w:szCs w:val="28"/>
        </w:rPr>
        <w:t xml:space="preserve">посредством направления заявления, с прилагаемыми документами на адрес электронной почты </w:t>
      </w:r>
      <w:r>
        <w:rPr>
          <w:bCs/>
          <w:sz w:val="28"/>
          <w:szCs w:val="28"/>
        </w:rPr>
        <w:t xml:space="preserve">общеобразовательной организации</w:t>
      </w:r>
      <w:r>
        <w:rPr>
          <w:bCs/>
          <w:sz w:val="28"/>
          <w:szCs w:val="28"/>
        </w:rPr>
        <w:t xml:space="preserve">, являющ</w:t>
      </w:r>
      <w:r>
        <w:rPr>
          <w:bCs/>
          <w:sz w:val="28"/>
          <w:szCs w:val="28"/>
        </w:rPr>
        <w:t xml:space="preserve">ей</w:t>
      </w:r>
      <w:r>
        <w:rPr>
          <w:bCs/>
          <w:sz w:val="28"/>
          <w:szCs w:val="28"/>
        </w:rPr>
        <w:t xml:space="preserve">ся местом регистрации заявлений на участие в написании итогового сочинения (изложения) или лица, ответственного в общеобразовательной организации за прием заявлений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Подача заявлений для участия в написании итогового сочинения (изложения) в дистанционном формате осуществляется в случае отсутствия возможности подачи заявления в очном формате.</w:t>
      </w:r>
      <w:r/>
    </w:p>
    <w:p>
      <w:pPr>
        <w:ind w:firstLine="709"/>
        <w:jc w:val="both"/>
      </w:pPr>
      <w:r>
        <w:rPr>
          <w:bCs/>
          <w:sz w:val="28"/>
          <w:szCs w:val="28"/>
        </w:rPr>
        <w:t xml:space="preserve">Заполненные бланки заявлений на участие в написании итогового сочинения (изложения), с приложением документов, указанны</w:t>
      </w:r>
      <w:r>
        <w:rPr>
          <w:bCs/>
          <w:sz w:val="28"/>
          <w:szCs w:val="28"/>
        </w:rPr>
        <w:t xml:space="preserve">х</w:t>
      </w:r>
      <w:r>
        <w:rPr>
          <w:bCs/>
          <w:sz w:val="28"/>
          <w:szCs w:val="28"/>
        </w:rPr>
        <w:t xml:space="preserve"> в пункте 2 </w:t>
      </w:r>
      <w:r>
        <w:rPr>
          <w:bCs/>
          <w:sz w:val="28"/>
          <w:szCs w:val="28"/>
        </w:rPr>
        <w:t xml:space="preserve">настоящего порядка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электронной форме </w:t>
      </w:r>
      <w:r>
        <w:rPr>
          <w:bCs/>
          <w:sz w:val="28"/>
          <w:szCs w:val="28"/>
        </w:rPr>
        <w:t xml:space="preserve">могут быть направлены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соответствующий адрес электронной почты в места регистрации </w:t>
      </w:r>
      <w:r>
        <w:rPr>
          <w:bCs/>
          <w:sz w:val="28"/>
          <w:szCs w:val="28"/>
        </w:rPr>
        <w:t xml:space="preserve">заявлений на участие в написании итогового сочинения (изложения)</w:t>
      </w:r>
      <w:r>
        <w:rPr>
          <w:bCs/>
          <w:sz w:val="28"/>
          <w:szCs w:val="28"/>
        </w:rPr>
        <w:t xml:space="preserve">, утверждаемые Департаментом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  <w:highlight w:val="yellow"/>
        </w:rPr>
      </w:r>
      <w:r/>
    </w:p>
    <w:p>
      <w:pPr>
        <w:ind w:firstLine="709"/>
        <w:jc w:val="both"/>
      </w:pPr>
      <w:r>
        <w:rPr>
          <w:bCs/>
          <w:sz w:val="28"/>
          <w:szCs w:val="28"/>
        </w:rPr>
        <w:t xml:space="preserve">Регистрация заявлений, поданных в дистанционном формате, осуществляется в соответствии с пунктом </w:t>
      </w:r>
      <w:r>
        <w:rPr>
          <w:bCs/>
          <w:sz w:val="28"/>
          <w:szCs w:val="28"/>
        </w:rPr>
        <w:t xml:space="preserve">5 настоящего порядка.</w:t>
      </w:r>
      <w:r>
        <w:rPr>
          <w:bCs/>
          <w:sz w:val="28"/>
          <w:szCs w:val="28"/>
        </w:rPr>
      </w:r>
      <w:r/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</w:rPr>
        <w:t xml:space="preserve">При дистанционной подаче заявления на участие в написании итогового сочинения (изложения) </w:t>
      </w:r>
      <w:r>
        <w:rPr>
          <w:bCs/>
          <w:sz w:val="28"/>
          <w:szCs w:val="28"/>
          <w:highlight w:val="none"/>
        </w:rPr>
        <w:t xml:space="preserve">заявителю необходимо в течении трех рабочих дней удостовериться в получении сведений о регистрации заявления. Указанные сведения содержат </w:t>
      </w:r>
      <w:r>
        <w:rPr>
          <w:bCs/>
          <w:sz w:val="28"/>
          <w:szCs w:val="28"/>
          <w:highlight w:val="none"/>
        </w:rPr>
        <w:t xml:space="preserve">номер</w:t>
      </w:r>
      <w:r>
        <w:rPr>
          <w:bCs/>
          <w:sz w:val="28"/>
          <w:szCs w:val="28"/>
          <w:highlight w:val="none"/>
        </w:rPr>
        <w:t xml:space="preserve"> и дату регистрации</w:t>
      </w:r>
      <w:r>
        <w:rPr>
          <w:bCs/>
          <w:sz w:val="28"/>
          <w:szCs w:val="28"/>
          <w:highlight w:val="none"/>
        </w:rPr>
        <w:t xml:space="preserve">, внесенн</w:t>
      </w:r>
      <w:r>
        <w:rPr>
          <w:bCs/>
          <w:sz w:val="28"/>
          <w:szCs w:val="28"/>
          <w:highlight w:val="none"/>
        </w:rPr>
        <w:t xml:space="preserve">ые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в </w:t>
      </w:r>
      <w:r>
        <w:rPr>
          <w:bCs/>
          <w:sz w:val="28"/>
          <w:szCs w:val="28"/>
          <w:highlight w:val="none"/>
        </w:rPr>
        <w:t xml:space="preserve">журнал регистрации заявлений участников итогового сочинения (изложения) в 2025/</w:t>
      </w:r>
      <w:r>
        <w:rPr>
          <w:bCs/>
          <w:sz w:val="28"/>
          <w:szCs w:val="28"/>
          <w:highlight w:val="none"/>
        </w:rPr>
        <w:t xml:space="preserve">2026 учебном году</w:t>
      </w:r>
      <w:r>
        <w:rPr>
          <w:bCs/>
          <w:sz w:val="28"/>
          <w:szCs w:val="28"/>
          <w:highlight w:val="none"/>
        </w:rPr>
        <w:t xml:space="preserve">,</w:t>
      </w:r>
      <w:r>
        <w:rPr>
          <w:bCs/>
          <w:sz w:val="28"/>
          <w:szCs w:val="28"/>
          <w:highlight w:val="none"/>
        </w:rPr>
        <w:t xml:space="preserve"> и соответствуют номеру и дате, обозначенным</w:t>
      </w:r>
      <w:r>
        <w:rPr>
          <w:bCs/>
          <w:sz w:val="28"/>
          <w:szCs w:val="28"/>
          <w:highlight w:val="none"/>
        </w:rPr>
        <w:t xml:space="preserve"> в бланке</w:t>
      </w:r>
      <w:r>
        <w:rPr>
          <w:bCs/>
          <w:sz w:val="28"/>
          <w:szCs w:val="28"/>
          <w:highlight w:val="none"/>
        </w:rPr>
        <w:t xml:space="preserve"> заявления участника итогового сочинения (изложения). Информация о номере и дате регистрации заявления направляется лицом, ответственным за прием и регистрацию заявлений на участие в написании итогового сочинения (изложения), </w:t>
      </w:r>
      <w:r>
        <w:rPr>
          <w:bCs/>
          <w:sz w:val="28"/>
          <w:szCs w:val="28"/>
          <w:highlight w:val="none"/>
        </w:rPr>
        <w:t xml:space="preserve">на адрес электронной почты или сообщается по номеру телефона, указанным </w:t>
        <w:br/>
      </w:r>
      <w:r>
        <w:rPr>
          <w:bCs/>
          <w:sz w:val="28"/>
          <w:szCs w:val="28"/>
          <w:highlight w:val="none"/>
        </w:rPr>
        <w:t xml:space="preserve">в заявлении участника итогового сочинения (изложения)</w:t>
      </w:r>
      <w:r>
        <w:rPr>
          <w:bCs/>
          <w:sz w:val="28"/>
          <w:szCs w:val="28"/>
          <w:highlight w:val="none"/>
        </w:rPr>
        <w:t xml:space="preserve">. </w:t>
      </w:r>
      <w:r>
        <w:rPr>
          <w:bCs/>
          <w:sz w:val="28"/>
          <w:szCs w:val="28"/>
          <w:highlight w:val="none"/>
        </w:rPr>
        <w:t xml:space="preserve">В случае неполучения в течение трех рабочих дней на </w:t>
      </w:r>
      <w:r>
        <w:rPr>
          <w:bCs/>
          <w:sz w:val="28"/>
          <w:szCs w:val="28"/>
          <w:highlight w:val="none"/>
        </w:rPr>
        <w:t xml:space="preserve">адрес электронной почты </w:t>
      </w:r>
      <w:r>
        <w:rPr>
          <w:bCs/>
          <w:sz w:val="28"/>
          <w:szCs w:val="28"/>
          <w:highlight w:val="none"/>
        </w:rPr>
        <w:t xml:space="preserve">сообщения 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 номер</w:t>
      </w:r>
      <w:r>
        <w:rPr>
          <w:bCs/>
          <w:sz w:val="28"/>
          <w:szCs w:val="28"/>
          <w:highlight w:val="none"/>
        </w:rPr>
        <w:t xml:space="preserve">е</w:t>
      </w:r>
      <w:r>
        <w:rPr>
          <w:bCs/>
          <w:sz w:val="28"/>
          <w:szCs w:val="28"/>
          <w:highlight w:val="none"/>
        </w:rPr>
        <w:t xml:space="preserve"> и дат</w:t>
      </w:r>
      <w:r>
        <w:rPr>
          <w:bCs/>
          <w:sz w:val="28"/>
          <w:szCs w:val="28"/>
          <w:highlight w:val="none"/>
        </w:rPr>
        <w:t xml:space="preserve">е</w:t>
      </w:r>
      <w:r>
        <w:rPr>
          <w:bCs/>
          <w:sz w:val="28"/>
          <w:szCs w:val="28"/>
          <w:highlight w:val="none"/>
        </w:rPr>
        <w:t xml:space="preserve">, внесенн</w:t>
      </w:r>
      <w:r>
        <w:rPr>
          <w:bCs/>
          <w:sz w:val="28"/>
          <w:szCs w:val="28"/>
          <w:highlight w:val="none"/>
        </w:rPr>
        <w:t xml:space="preserve">ых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в </w:t>
      </w:r>
      <w:r>
        <w:rPr>
          <w:bCs/>
          <w:sz w:val="28"/>
          <w:szCs w:val="28"/>
          <w:highlight w:val="none"/>
        </w:rPr>
        <w:t xml:space="preserve">журнал регистрации заявлений участников итогового сочинения (изложения) в 2025/</w:t>
      </w:r>
      <w:r>
        <w:rPr>
          <w:bCs/>
          <w:sz w:val="28"/>
          <w:szCs w:val="28"/>
          <w:highlight w:val="none"/>
        </w:rPr>
        <w:t xml:space="preserve">2026 учебном году</w:t>
      </w:r>
      <w:r>
        <w:rPr>
          <w:bCs/>
          <w:sz w:val="28"/>
          <w:szCs w:val="28"/>
          <w:highlight w:val="none"/>
        </w:rPr>
        <w:t xml:space="preserve">, заявитель, в том числе </w:t>
      </w:r>
      <w:r>
        <w:rPr>
          <w:bCs/>
          <w:sz w:val="28"/>
          <w:szCs w:val="28"/>
          <w:highlight w:val="none"/>
        </w:rPr>
        <w:t xml:space="preserve">посредством телефонной связи,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может обратиться </w:t>
        <w:br/>
        <w:t xml:space="preserve">к лицу, ответственному </w:t>
      </w:r>
      <w:r>
        <w:rPr>
          <w:bCs/>
          <w:sz w:val="28"/>
          <w:szCs w:val="28"/>
          <w:highlight w:val="none"/>
        </w:rPr>
        <w:t xml:space="preserve">за прием и регистрацию заявлений, сведения </w:t>
        <w:br/>
        <w:t xml:space="preserve">о котором содержатся </w:t>
      </w:r>
      <w:r>
        <w:rPr>
          <w:bCs/>
          <w:sz w:val="28"/>
          <w:szCs w:val="28"/>
          <w:highlight w:val="none"/>
        </w:rPr>
        <w:t xml:space="preserve">в приложении 2 к приказу «</w:t>
      </w:r>
      <w:r>
        <w:rPr>
          <w:color w:val="000000" w:themeColor="text1"/>
          <w:sz w:val="28"/>
          <w:szCs w:val="28"/>
          <w:highlight w:val="none"/>
        </w:rPr>
        <w:t xml:space="preserve">Места регистрации заявлений для участия в написании итогового сочинения (изложения) </w:t>
        <w:br/>
        <w:t xml:space="preserve">на территории Ханты-Мансийского автономного округа – Югры </w:t>
        <w:br/>
        <w:t xml:space="preserve">в 2025/2026 учебном году</w:t>
      </w:r>
      <w:r>
        <w:rPr>
          <w:bCs/>
          <w:sz w:val="28"/>
          <w:szCs w:val="28"/>
          <w:highlight w:val="none"/>
        </w:rPr>
        <w:t xml:space="preserve">»</w:t>
      </w:r>
      <w:r>
        <w:rPr>
          <w:bCs/>
          <w:sz w:val="28"/>
          <w:szCs w:val="28"/>
          <w:highlight w:val="none"/>
        </w:rPr>
        <w:t xml:space="preserve">, </w:t>
      </w:r>
      <w:r>
        <w:rPr>
          <w:bCs/>
          <w:sz w:val="28"/>
          <w:szCs w:val="28"/>
          <w:highlight w:val="none"/>
        </w:rPr>
        <w:t xml:space="preserve">для выяснения обстоятельств</w:t>
      </w:r>
      <w:r>
        <w:rPr>
          <w:bCs/>
          <w:sz w:val="28"/>
          <w:szCs w:val="28"/>
          <w:highlight w:val="none"/>
        </w:rPr>
        <w:t xml:space="preserve">. </w:t>
      </w:r>
      <w:r>
        <w:rPr>
          <w:bCs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.3. </w:t>
      </w:r>
      <w:r>
        <w:rPr>
          <w:bCs/>
          <w:sz w:val="28"/>
          <w:szCs w:val="28"/>
        </w:rPr>
        <w:t xml:space="preserve">Оригинал заявления об участии в итоговом сочинении (изложении) должен быть представлен </w:t>
      </w:r>
      <w:r>
        <w:rPr>
          <w:bCs/>
          <w:sz w:val="28"/>
          <w:szCs w:val="28"/>
        </w:rPr>
        <w:t xml:space="preserve">заявителем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места регистрации </w:t>
      </w:r>
      <w:r>
        <w:rPr>
          <w:bCs/>
          <w:sz w:val="28"/>
          <w:szCs w:val="28"/>
        </w:rPr>
        <w:t xml:space="preserve">заявлений на участие в написании итогового сочинения (изложения), утверждаемые Департаментом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срок, не </w:t>
      </w:r>
      <w:r>
        <w:rPr>
          <w:bCs/>
          <w:sz w:val="28"/>
          <w:szCs w:val="28"/>
        </w:rPr>
        <w:t xml:space="preserve">позднее</w:t>
      </w:r>
      <w:r>
        <w:rPr>
          <w:bCs/>
          <w:sz w:val="28"/>
          <w:szCs w:val="28"/>
        </w:rPr>
        <w:t xml:space="preserve"> чем </w:t>
      </w:r>
      <w:r>
        <w:rPr>
          <w:bCs/>
          <w:sz w:val="28"/>
          <w:szCs w:val="28"/>
          <w:highlight w:val="none"/>
        </w:rPr>
        <w:t xml:space="preserve">за двенадцать дней до даты</w:t>
      </w:r>
      <w:r>
        <w:rPr>
          <w:bCs/>
          <w:sz w:val="28"/>
          <w:szCs w:val="28"/>
          <w:highlight w:val="none"/>
        </w:rPr>
        <w:t xml:space="preserve">, </w:t>
      </w:r>
      <w:r>
        <w:rPr>
          <w:bCs/>
          <w:sz w:val="28"/>
          <w:szCs w:val="28"/>
        </w:rPr>
        <w:t xml:space="preserve">заявленной для написания итогового сочинения (изложения)</w:t>
      </w:r>
      <w:r>
        <w:rPr>
          <w:bCs/>
          <w:sz w:val="28"/>
          <w:szCs w:val="28"/>
        </w:rPr>
        <w:t xml:space="preserve">. Представление</w:t>
      </w:r>
      <w:r>
        <w:rPr>
          <w:bCs/>
          <w:sz w:val="28"/>
          <w:szCs w:val="28"/>
        </w:rPr>
        <w:t xml:space="preserve"> оригиналов</w:t>
      </w:r>
      <w:r>
        <w:rPr>
          <w:bCs/>
          <w:sz w:val="28"/>
          <w:szCs w:val="28"/>
        </w:rPr>
        <w:t xml:space="preserve"> заявлений осуществляется участниками итогового сочинения (изложения) при предъявлении</w:t>
      </w:r>
      <w:r>
        <w:rPr>
          <w:bCs/>
          <w:sz w:val="28"/>
          <w:szCs w:val="28"/>
        </w:rPr>
        <w:t xml:space="preserve"> документа, удостоверяющего </w:t>
      </w:r>
      <w:r>
        <w:rPr>
          <w:bCs/>
          <w:sz w:val="28"/>
          <w:szCs w:val="28"/>
        </w:rPr>
        <w:t xml:space="preserve">их </w:t>
      </w:r>
      <w:r>
        <w:rPr>
          <w:bCs/>
          <w:sz w:val="28"/>
          <w:szCs w:val="28"/>
        </w:rPr>
        <w:t xml:space="preserve">личность, или </w:t>
      </w:r>
      <w:r>
        <w:rPr>
          <w:bCs/>
          <w:sz w:val="28"/>
          <w:szCs w:val="28"/>
        </w:rPr>
        <w:t xml:space="preserve">их</w:t>
      </w:r>
      <w:r>
        <w:rPr>
          <w:bCs/>
          <w:sz w:val="28"/>
          <w:szCs w:val="28"/>
        </w:rPr>
        <w:t xml:space="preserve"> родителями (законными представителями) на основании документа, удостоверяющего их личность,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или уполномоченными лицами при предъявлении документов, удостоверяющих личность, и доверенности (далее – уполномоченные лица)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 Дистанционная подача заявления на участие в написании итогового сочинения (изложения) </w:t>
      </w:r>
      <w:r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 xml:space="preserve">с учетом соблюдения требований законодательства Российской Федерации в области защиты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bCs/>
          <w:sz w:val="28"/>
          <w:szCs w:val="28"/>
          <w:highlight w:val="none"/>
        </w:rPr>
        <w:t xml:space="preserve">4.5. </w:t>
      </w:r>
      <w:r>
        <w:rPr>
          <w:sz w:val="28"/>
          <w:szCs w:val="28"/>
        </w:rPr>
        <w:t xml:space="preserve">В очном формате,</w:t>
      </w:r>
      <w:r>
        <w:rPr>
          <w:bCs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с использованием информационно-коммуникационных технологий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bCs/>
          <w:sz w:val="28"/>
          <w:szCs w:val="28"/>
          <w:highlight w:val="none"/>
        </w:rPr>
        <w:t xml:space="preserve">подача заявления на участие в написании итогового сочинения (изложения) осуществляется </w:t>
      </w:r>
      <w:r/>
      <w:r>
        <w:rPr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Системы сбора заявлений на участие в прохождении </w:t>
      </w:r>
      <w:r>
        <w:rPr>
          <w:rFonts w:ascii="Times New Roman" w:hAnsi="Times New Roman" w:cs="Times New Roman"/>
          <w:sz w:val="28"/>
          <w:szCs w:val="28"/>
        </w:rPr>
        <w:t xml:space="preserve">ГИА-11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 через цифровую образовательную платформу Ханты-Мансийского автономного округа </w:t>
        <w:br/>
        <w:t xml:space="preserve">– Югры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Система, ЦОП</w:t>
      </w:r>
      <w:r>
        <w:t xml:space="preserve"> </w:t>
      </w:r>
      <w:r>
        <w:rPr>
          <w:sz w:val="28"/>
          <w:szCs w:val="28"/>
        </w:rPr>
        <w:t xml:space="preserve">«Образование Югры»)</w:t>
      </w:r>
      <w:r>
        <w:rPr>
          <w:sz w:val="28"/>
          <w:szCs w:val="28"/>
        </w:rPr>
        <w:t xml:space="preserve"> </w:t>
        <w:br/>
        <w:t xml:space="preserve">в 2025/2026 учебном году</w:t>
      </w:r>
      <w:r>
        <w:rPr>
          <w:bCs/>
          <w:sz w:val="28"/>
          <w:szCs w:val="28"/>
          <w:highlight w:val="none"/>
        </w:rPr>
        <w:t xml:space="preserve">,  руководствуясь особенностями, определенными пунктом 8 настоящего порядка. </w:t>
      </w:r>
      <w:r>
        <w:rPr>
          <w:bCs/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4.6. Прием и регистрация</w:t>
      </w:r>
      <w:r>
        <w:rPr>
          <w:bCs/>
          <w:sz w:val="28"/>
          <w:szCs w:val="28"/>
          <w:highlight w:val="none"/>
        </w:rPr>
        <w:t xml:space="preserve"> заявлений на участие в написании итогового сочинения (изложения) осуществляется ответственными лицами, сведения о которых содержатся в приложении 2 к приказу «</w:t>
      </w:r>
      <w:r>
        <w:rPr>
          <w:color w:val="000000" w:themeColor="text1"/>
          <w:sz w:val="28"/>
          <w:szCs w:val="28"/>
          <w:highlight w:val="none"/>
        </w:rPr>
        <w:t xml:space="preserve">Места регистрации заявлений для участия в написании итогового сочинения (изложения) на территории Ханты-Мансийского автономного округа </w:t>
        <w:br/>
        <w:t xml:space="preserve">– Югры в 2025/2026 учебном году</w:t>
      </w:r>
      <w:r>
        <w:rPr>
          <w:bCs/>
          <w:sz w:val="28"/>
          <w:szCs w:val="28"/>
          <w:highlight w:val="none"/>
        </w:rPr>
        <w:t xml:space="preserve">». В соответствии с подпунктами 7.1 пункта 7, подпункта 8.1 пункта 8 приказ с приложениями </w:t>
        <w:br/>
        <w:t xml:space="preserve">к нему доводится до сведения л</w:t>
      </w:r>
      <w:r>
        <w:rPr>
          <w:bCs/>
          <w:sz w:val="28"/>
          <w:szCs w:val="28"/>
          <w:highlight w:val="none"/>
        </w:rPr>
        <w:t xml:space="preserve">иц</w:t>
      </w:r>
      <w:r>
        <w:rPr>
          <w:bCs/>
          <w:sz w:val="28"/>
          <w:szCs w:val="28"/>
          <w:highlight w:val="none"/>
        </w:rPr>
        <w:t xml:space="preserve">, ответственных за регистрацию заявлений на участие </w:t>
      </w:r>
      <w:r>
        <w:rPr>
          <w:bCs/>
          <w:sz w:val="28"/>
          <w:szCs w:val="28"/>
          <w:highlight w:val="none"/>
        </w:rPr>
        <w:t xml:space="preserve">в написании итогового сочинения (изложения) до 28.11.2025.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  <w:highlight w:val="none"/>
        </w:rPr>
        <w:t xml:space="preserve">Лица, ответственные за регистрацию заявлений на участие </w:t>
      </w:r>
      <w:r>
        <w:rPr>
          <w:bCs/>
          <w:sz w:val="28"/>
          <w:szCs w:val="28"/>
          <w:highlight w:val="none"/>
        </w:rPr>
        <w:br/>
        <w:t xml:space="preserve">в итоговом сочинении (изложении)</w:t>
      </w:r>
      <w:r>
        <w:rPr>
          <w:bCs/>
          <w:sz w:val="28"/>
          <w:szCs w:val="28"/>
          <w:highlight w:val="none"/>
        </w:rPr>
        <w:t xml:space="preserve">, обеспечивают сверку сведений </w:t>
        <w:br/>
        <w:t xml:space="preserve">в РИС ГИА, внесенных на основании заявлений, поданных участниками </w:t>
        <w:br/>
        <w:t xml:space="preserve">в дистанционном формате</w:t>
      </w:r>
      <w:r>
        <w:rPr>
          <w:bCs/>
          <w:sz w:val="28"/>
          <w:szCs w:val="28"/>
          <w:highlight w:val="none"/>
        </w:rPr>
        <w:t xml:space="preserve"> в установленные сроки, со сведениями, содержащимися в </w:t>
      </w:r>
      <w:r>
        <w:rPr>
          <w:bCs/>
          <w:sz w:val="28"/>
          <w:szCs w:val="28"/>
          <w:highlight w:val="none"/>
        </w:rPr>
        <w:t xml:space="preserve">оригиналах</w:t>
      </w:r>
      <w:r>
        <w:rPr>
          <w:bCs/>
          <w:sz w:val="28"/>
          <w:szCs w:val="28"/>
          <w:highlight w:val="none"/>
        </w:rPr>
        <w:t xml:space="preserve"> бланков заявлений, представленных заявител</w:t>
      </w:r>
      <w:r>
        <w:rPr>
          <w:bCs/>
          <w:sz w:val="28"/>
          <w:szCs w:val="28"/>
          <w:highlight w:val="none"/>
        </w:rPr>
        <w:t xml:space="preserve">ями</w:t>
      </w:r>
      <w:r>
        <w:rPr>
          <w:bCs/>
          <w:sz w:val="28"/>
          <w:szCs w:val="28"/>
          <w:highlight w:val="none"/>
        </w:rPr>
        <w:t xml:space="preserve">, </w:t>
      </w:r>
      <w:r>
        <w:rPr>
          <w:bCs/>
          <w:sz w:val="28"/>
          <w:szCs w:val="28"/>
          <w:highlight w:val="none"/>
        </w:rPr>
        <w:t xml:space="preserve">их</w:t>
      </w:r>
      <w:r>
        <w:rPr>
          <w:bCs/>
          <w:sz w:val="28"/>
          <w:szCs w:val="28"/>
          <w:highlight w:val="none"/>
        </w:rPr>
        <w:t xml:space="preserve"> родителями (законными представителями)</w:t>
      </w:r>
      <w:r>
        <w:rPr>
          <w:bCs/>
          <w:sz w:val="28"/>
          <w:szCs w:val="28"/>
          <w:highlight w:val="none"/>
        </w:rPr>
        <w:t xml:space="preserve">, </w:t>
      </w:r>
      <w:r>
        <w:rPr>
          <w:bCs/>
          <w:sz w:val="28"/>
          <w:szCs w:val="28"/>
          <w:highlight w:val="none"/>
        </w:rPr>
        <w:t xml:space="preserve">уполномоченными лицами</w:t>
      </w:r>
      <w:r>
        <w:rPr>
          <w:bCs/>
          <w:sz w:val="28"/>
          <w:szCs w:val="28"/>
          <w:highlight w:val="none"/>
        </w:rPr>
        <w:t xml:space="preserve">, не </w:t>
      </w:r>
      <w:r>
        <w:rPr>
          <w:bCs/>
          <w:sz w:val="28"/>
          <w:szCs w:val="28"/>
          <w:highlight w:val="none"/>
        </w:rPr>
        <w:t xml:space="preserve">позднее</w:t>
      </w:r>
      <w:r>
        <w:rPr>
          <w:bCs/>
          <w:sz w:val="28"/>
          <w:szCs w:val="28"/>
          <w:highlight w:val="none"/>
        </w:rPr>
        <w:t xml:space="preserve"> чем за двенадцать дней до даты проведения итогового сочинения (изложения)</w:t>
      </w:r>
      <w:r>
        <w:rPr>
          <w:bCs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5.</w:t>
      </w:r>
      <w:r>
        <w:rPr>
          <w:bCs/>
          <w:sz w:val="28"/>
          <w:szCs w:val="28"/>
        </w:rPr>
        <w:t xml:space="preserve"> Общеобразовательная организация, </w:t>
      </w:r>
      <w:r>
        <w:rPr>
          <w:rFonts w:ascii="Times New Roman" w:hAnsi="Times New Roman"/>
          <w:sz w:val="28"/>
          <w:szCs w:val="28"/>
          <w:highlight w:val="none"/>
        </w:rPr>
        <w:t xml:space="preserve">структурное подразделение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исполнительно-распорядительного органа городского округа, (муниципального района) Ханты-Мансийского автономного округа </w:t>
        <w:br/>
        <w:t xml:space="preserve">– Югры, курирующее вопросы образования</w:t>
      </w:r>
      <w:r>
        <w:rPr>
          <w:bCs/>
          <w:sz w:val="28"/>
          <w:szCs w:val="28"/>
        </w:rPr>
        <w:t xml:space="preserve">, организуют прием заявлений.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Заявления на участие в написании итогового сочинения (изложения)</w:t>
      </w:r>
      <w:r>
        <w:rPr>
          <w:bCs/>
          <w:sz w:val="28"/>
          <w:szCs w:val="28"/>
        </w:rPr>
        <w:t xml:space="preserve"> подлежат регистрации в </w:t>
      </w:r>
      <w:r>
        <w:rPr>
          <w:bCs/>
          <w:sz w:val="28"/>
          <w:szCs w:val="28"/>
        </w:rPr>
        <w:t xml:space="preserve">журнале регистрации заявлений участников итогового сочинения (изложения)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день подачи заявления, в случае подачи заявления в очном формате;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течение трех календарных дней, в случае подачи заявления </w:t>
        <w:br/>
        <w:t xml:space="preserve">в дистанционном формате.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При подаче заявлений лицами с ОВЗ, детьми-инвалидами, инвалидами следует учитывать необходимость внесения сведений </w:t>
        <w:br/>
        <w:t xml:space="preserve">в соответствующее поле</w:t>
      </w:r>
      <w:r>
        <w:rPr>
          <w:bCs/>
          <w:sz w:val="28"/>
          <w:szCs w:val="28"/>
        </w:rPr>
        <w:t xml:space="preserve"> заявления, содержащее информацию </w:t>
        <w:br/>
        <w:t xml:space="preserve">о потребности создания условий, с учетом состояния их здоровья, особенностей психофизического развития при проведении итогового сочинения (изложения). </w:t>
      </w:r>
      <w:r>
        <w:rPr>
          <w:bCs/>
          <w:sz w:val="28"/>
          <w:szCs w:val="28"/>
        </w:rPr>
      </w:r>
      <w:r/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</w:rPr>
        <w:t xml:space="preserve">При подаче заявления на участие в написании итогового сочинения (изложения)</w:t>
      </w:r>
      <w:r>
        <w:rPr>
          <w:bCs/>
          <w:sz w:val="28"/>
          <w:szCs w:val="28"/>
        </w:rPr>
        <w:t xml:space="preserve"> участник информируется о Порядке проведения итогового сочинения (изложения)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По месту подачи заявления участникам, указанным в подпунктах 1.1, 1.2 пункта 1, на руки выдается </w:t>
      </w:r>
      <w:r>
        <w:rPr>
          <w:bCs/>
          <w:sz w:val="28"/>
          <w:szCs w:val="28"/>
        </w:rPr>
        <w:t xml:space="preserve">памятка </w:t>
      </w:r>
      <w:r>
        <w:rPr>
          <w:bCs/>
          <w:sz w:val="28"/>
          <w:szCs w:val="28"/>
        </w:rPr>
        <w:br/>
        <w:t xml:space="preserve">о порядке проведения итогового сочинения (изложения) для ознакомления обучающихся (экстернов), их родителей (законных представителей), утвержденная подпунктом 5.3 пункта 5 приказа Департамента</w:t>
      </w:r>
      <w:r>
        <w:rPr>
          <w:bCs/>
          <w:sz w:val="28"/>
          <w:szCs w:val="28"/>
        </w:rPr>
        <w:t xml:space="preserve">. Участникам, указанным в подпункте </w:t>
      </w:r>
      <w:r>
        <w:rPr>
          <w:bCs/>
          <w:sz w:val="28"/>
          <w:szCs w:val="28"/>
          <w:highlight w:val="none"/>
        </w:rPr>
        <w:t xml:space="preserve">1.3 пункта 1 настоящего порядка, памятка о порядке проведения итогового сочинения</w:t>
      </w:r>
      <w:r>
        <w:rPr>
          <w:bCs/>
          <w:sz w:val="28"/>
          <w:szCs w:val="28"/>
          <w:highlight w:val="none"/>
        </w:rPr>
        <w:t xml:space="preserve"> выдается при подаче заявления в очном формате, а также при предоставлении оригинала заявления </w:t>
      </w:r>
      <w:r>
        <w:rPr>
          <w:bCs/>
          <w:sz w:val="28"/>
          <w:szCs w:val="28"/>
          <w:highlight w:val="none"/>
        </w:rPr>
        <w:t xml:space="preserve">в срок, не </w:t>
      </w:r>
      <w:r>
        <w:rPr>
          <w:bCs/>
          <w:sz w:val="28"/>
          <w:szCs w:val="28"/>
          <w:highlight w:val="none"/>
        </w:rPr>
        <w:t xml:space="preserve">позднее</w:t>
      </w:r>
      <w:r>
        <w:rPr>
          <w:bCs/>
          <w:sz w:val="28"/>
          <w:szCs w:val="28"/>
          <w:highlight w:val="none"/>
        </w:rPr>
        <w:t xml:space="preserve"> чем </w:t>
      </w:r>
      <w:r>
        <w:rPr>
          <w:bCs/>
          <w:sz w:val="28"/>
          <w:szCs w:val="28"/>
          <w:highlight w:val="none"/>
        </w:rPr>
        <w:t xml:space="preserve">за двенадцать дней до даты</w:t>
      </w:r>
      <w:r>
        <w:rPr>
          <w:bCs/>
          <w:sz w:val="28"/>
          <w:szCs w:val="28"/>
          <w:highlight w:val="none"/>
        </w:rPr>
        <w:t xml:space="preserve">, </w:t>
      </w:r>
      <w:r>
        <w:rPr>
          <w:bCs/>
          <w:sz w:val="28"/>
          <w:szCs w:val="28"/>
          <w:highlight w:val="none"/>
        </w:rPr>
        <w:t xml:space="preserve">заявленной для написания итогового сочинения (изложения)</w:t>
      </w:r>
      <w:r>
        <w:rPr>
          <w:bCs/>
          <w:sz w:val="28"/>
          <w:szCs w:val="28"/>
          <w:highlight w:val="none"/>
        </w:rPr>
        <w:t xml:space="preserve">, в случае подачи заявления в дистанционном формате. Оформление памятки осуществляется</w:t>
      </w:r>
      <w:r>
        <w:rPr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структурным подразделением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 исполнительно-распорядительного органа городского округа (муниципального района)</w:t>
      </w:r>
      <w:r>
        <w:rPr>
          <w:rFonts w:ascii="Times New Roman" w:hAnsi="Times New Roman"/>
          <w:sz w:val="28"/>
          <w:szCs w:val="28"/>
          <w:highlight w:val="none"/>
        </w:rPr>
        <w:t xml:space="preserve"> Ханты-Мансийского автономного округа – Югры, курирующим вопросы образования</w:t>
      </w:r>
      <w:r>
        <w:rPr>
          <w:bCs/>
          <w:sz w:val="28"/>
          <w:szCs w:val="28"/>
          <w:highlight w:val="none"/>
        </w:rPr>
        <w:t xml:space="preserve">, с учетом положений, содержащихся в памятке, утвержденной подпунктом 5.3 пункта 5 приказа Департамента, в части касающейся заявителей.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  <w:highlight w:val="none"/>
        </w:rPr>
        <w:t xml:space="preserve">На заявлении делается отметка о номере и дате его поступления, </w:t>
      </w:r>
      <w:r>
        <w:rPr>
          <w:bCs/>
          <w:sz w:val="28"/>
          <w:szCs w:val="28"/>
          <w:highlight w:val="none"/>
        </w:rPr>
        <w:br/>
      </w:r>
      <w:r>
        <w:rPr>
          <w:bCs/>
          <w:sz w:val="28"/>
          <w:szCs w:val="28"/>
          <w:highlight w:val="none"/>
        </w:rPr>
        <w:t xml:space="preserve">а также подпись лица (с расшифровкой ФИО), принявшего заявление.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Сведения об участниках итогового сочинения (изложения) вносятся</w:t>
      </w:r>
      <w:r>
        <w:rPr>
          <w:bCs/>
          <w:sz w:val="28"/>
          <w:szCs w:val="28"/>
        </w:rPr>
        <w:t xml:space="preserve"> в базу данных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 ГИА) лицами, ответственными </w:t>
      </w:r>
      <w:r>
        <w:rPr>
          <w:bCs/>
          <w:sz w:val="28"/>
          <w:szCs w:val="28"/>
        </w:rPr>
        <w:t xml:space="preserve">за формирование РИС ГИА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общеобразовательной организации в отношении лиц, указанных </w:t>
        <w:br/>
        <w:t xml:space="preserve">в подпунктах 1.1, 1.2 пункта 1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структурного подразделения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исполнительно-распорядительного органа городского округа (муниципального района) Ханты-Мансийского автономного округа – Югры, курирующего вопросы образования</w:t>
      </w:r>
      <w:r>
        <w:rPr>
          <w:bCs/>
          <w:sz w:val="28"/>
          <w:szCs w:val="28"/>
        </w:rPr>
        <w:t xml:space="preserve">, </w:t>
        <w:br/>
        <w:t xml:space="preserve">в отношении лиц, указанных в подпункте 1.3 пункта 1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Сведения об участник</w:t>
      </w:r>
      <w:r>
        <w:rPr>
          <w:bCs/>
          <w:sz w:val="28"/>
          <w:szCs w:val="28"/>
          <w:highlight w:val="none"/>
        </w:rPr>
        <w:t xml:space="preserve">ах итогового сочинения (изложения) вносятся в РИС ГИА в соответствии с графиком их формирования, утвержденным автономным учреждением дополнительного профессионального образования Ханты-Мансийского автономного округа – Югры «Институт развития образования» от 21.10.2025 № 10/42-П-306.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Регистрация лиц со справкой об обучении, для участия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их желанию в итоговом сочинении,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ГИА-11.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подаче заявления такие лица предъявляют справку об обучении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8.</w:t>
      </w:r>
      <w:r>
        <w:rPr>
          <w:sz w:val="28"/>
          <w:szCs w:val="28"/>
          <w:highlight w:val="none"/>
        </w:rPr>
        <w:t xml:space="preserve"> Особенности подачи заявления на участие в написании итогового </w:t>
      </w:r>
      <w:r>
        <w:rPr>
          <w:sz w:val="28"/>
          <w:szCs w:val="28"/>
        </w:rPr>
        <w:t xml:space="preserve">сочинения (изложения)</w:t>
      </w:r>
      <w:r>
        <w:rPr>
          <w:sz w:val="28"/>
          <w:szCs w:val="28"/>
        </w:rPr>
        <w:t xml:space="preserve"> обучающимися общеобразовательных организаций, реализующих основные образовательные программы </w:t>
      </w:r>
      <w:r>
        <w:rPr>
          <w:sz w:val="28"/>
          <w:szCs w:val="28"/>
        </w:rPr>
        <w:t xml:space="preserve">среднего общего образования,</w:t>
      </w:r>
      <w:r>
        <w:rPr>
          <w:sz w:val="28"/>
          <w:szCs w:val="28"/>
        </w:rPr>
        <w:t xml:space="preserve"> посредством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Системы сбора заявлений </w:t>
        <w:br/>
        <w:t xml:space="preserve">на участие в прохождении </w:t>
      </w:r>
      <w:r>
        <w:rPr>
          <w:rFonts w:ascii="Times New Roman" w:hAnsi="Times New Roman" w:cs="Times New Roman"/>
          <w:sz w:val="28"/>
          <w:szCs w:val="28"/>
        </w:rPr>
        <w:t xml:space="preserve">ГИА-11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 xml:space="preserve">ЦОП «Образование Югры»</w:t>
      </w:r>
      <w:r>
        <w:rPr>
          <w:sz w:val="28"/>
          <w:szCs w:val="28"/>
        </w:rPr>
        <w:t xml:space="preserve"> связаны с организацией </w:t>
      </w:r>
      <w:r>
        <w:rPr>
          <w:sz w:val="28"/>
          <w:szCs w:val="28"/>
        </w:rPr>
        <w:t xml:space="preserve">подачи заявлений об участии в итоговом сочинении (изложении)</w:t>
      </w:r>
      <w:r>
        <w:rPr>
          <w:sz w:val="28"/>
          <w:szCs w:val="28"/>
        </w:rPr>
        <w:t xml:space="preserve"> </w:t>
      </w:r>
      <w:r>
        <w:rPr>
          <w:strike w:val="0"/>
          <w:sz w:val="28"/>
          <w:szCs w:val="28"/>
        </w:rPr>
        <w:t xml:space="preserve">с </w:t>
      </w:r>
      <w:r>
        <w:rPr>
          <w:sz w:val="28"/>
          <w:szCs w:val="28"/>
        </w:rPr>
        <w:t xml:space="preserve">использованием информационно-коммуникационных технологий, на основании решения Департамента, (подпункт 3.1 пункта 3 приказа).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8.1. Подача заявлений на участие в написании итогового сочинения (изложения)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 xml:space="preserve">через ЦОП «Образование Югры»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обучающимися всех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Ханты-Мансийского автономного округа </w:t>
        <w:br/>
        <w:t xml:space="preserve">– Югры, обеспечивая полномасштабную</w:t>
      </w:r>
      <w:r>
        <w:rPr>
          <w:rFonts w:ascii="Times New Roman" w:hAnsi="Times New Roman" w:cs="Times New Roman"/>
          <w:sz w:val="28"/>
          <w:szCs w:val="28"/>
        </w:rPr>
        <w:t xml:space="preserve"> реализацию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организационно-технических и технологических процессов, </w:t>
      </w:r>
      <w:r>
        <w:rPr>
          <w:rFonts w:ascii="Times New Roman" w:hAnsi="Times New Roman" w:cs="Times New Roman"/>
          <w:sz w:val="28"/>
          <w:szCs w:val="28"/>
        </w:rPr>
        <w:t xml:space="preserve">определяющих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эффективность функционирования Системы.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Style w:val="911"/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8.2. При подаче заявлений на участие в написании итогового сочинения (изложения)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Систему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лица, ответственные за прием заявлений обучающихся на участие в написании итогового сочинения (изложения), и лица, ответственные за </w:t>
      </w:r>
      <w:r>
        <w:rPr>
          <w:rStyle w:val="911"/>
          <w:rFonts w:ascii="Times New Roman" w:hAnsi="Times New Roman" w:cs="Times New Roman"/>
        </w:rPr>
        <w:t xml:space="preserve">координацию организационно-технических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, содействуют обучающимся в подаче заявлений на участие в написании итогового сочинения (изложения), руководствуясь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инструкцией 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Системы, определенной разработчиком Системы.</w:t>
      </w:r>
      <w:r/>
      <w:r>
        <w:rPr>
          <w:rStyle w:val="911"/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8.3. Подача заявлений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обучающимися на участие в написании итогового сочинения (изложения)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общеобразовательных </w:t>
      </w:r>
      <w:r>
        <w:rPr>
          <w:rStyle w:val="911"/>
          <w:rFonts w:ascii="Times New Roman" w:hAnsi="Times New Roman" w:cs="Times New Roman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через Систему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осуществляется в сроки, определенные приказом Департамента. После оформления заявления документ выгружается на бумажный носитель для обеспечения его регистрации в соответствии с настоящим порядком.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Обучающиеся вправе подать заявление на участие в написании итогового сочинения (изложения), оформляемое традиционным способом, </w:t>
        <w:br/>
        <w:t xml:space="preserve">в соответствии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настоящим порядком, согласно форме, прилагаемой </w:t>
        <w:br/>
        <w:t xml:space="preserve">к настоящему порядку.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8.4. Лица, ответст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венные за прием заявлений обучающихся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на участие в написании итогового сочинения (изложения), лица, ответственные за </w:t>
      </w:r>
      <w:r>
        <w:rPr>
          <w:rStyle w:val="911"/>
          <w:rFonts w:ascii="Times New Roman" w:hAnsi="Times New Roman" w:cs="Times New Roman"/>
        </w:rPr>
        <w:t xml:space="preserve">координацию организационно-технических процессов, связанных с участием общеобразовательных организаций </w:t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полномасштабном тестировании Системы, обеспечивают: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сличение (идентификацию) сведений, внесенных в Систему, формирующих заявление на участие в написании итогового сочинения (изложения),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имеющимися данными в ЦОП «Образование Югры»,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предъявляемыми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обучающимися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формирования заявления документами (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носителе, в электронном виде)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перемещение аутентичных сведений из Системы ЦОП «Образование Югры» в муниципальную базу данных РИС ГИА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за изменением состояния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Системе на основании заявлений обучающихся, содержащих изменение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персональных данных, заявлений обучающихся о создании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условий написания итогового сочинения (изложения)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, другое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оперативное реагирование, предусматривающее своевременное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перемещение актуальных сведений в муниципальную базу данных РИС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ГИА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направление на рассмотрение Департаментом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(за пределами сроков </w:t>
      </w:r>
      <w:r>
        <w:rPr>
          <w:bCs/>
          <w:sz w:val="28"/>
          <w:szCs w:val="28"/>
        </w:rPr>
        <w:t xml:space="preserve">подачи заявлений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участие </w:t>
        <w:br/>
        <w:t xml:space="preserve">в написании итогового сочинения (изложения), установленных Порядком проведения ГИА-11, утвержденным приказом Министерства просвещения Российской Федерации и Федеральной службы по надзору в сфере образования и науки от 04.04.2023 № 233/552);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формирование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направление предложений общеобразовательными организациями, </w:t>
      </w:r>
      <w:r>
        <w:rPr>
          <w:rFonts w:ascii="Times New Roman" w:hAnsi="Times New Roman"/>
          <w:sz w:val="28"/>
          <w:szCs w:val="28"/>
          <w:highlight w:val="none"/>
        </w:rPr>
        <w:t xml:space="preserve">структурными подразделениями</w:t>
      </w:r>
      <w:r>
        <w:rPr>
          <w:rFonts w:ascii="Times New Roman" w:hAnsi="Times New Roman"/>
          <w:sz w:val="28"/>
          <w:szCs w:val="28"/>
          <w:highlight w:val="none"/>
        </w:rPr>
        <w:t xml:space="preserve"> исполнительно-распорядительных органов городских округов, муниципальных районов Ханты-Мансийского автономного округа – Югры, курирующими вопросы образования</w:t>
      </w:r>
      <w:r>
        <w:rPr>
          <w:sz w:val="28"/>
          <w:szCs w:val="28"/>
        </w:rPr>
        <w:t xml:space="preserve">, в адрес автономного учреждения дополнительного профессионального образования Ханты-Мансийского </w:t>
      </w:r>
      <w:r>
        <w:rPr>
          <w:sz w:val="28"/>
          <w:szCs w:val="28"/>
        </w:rPr>
        <w:t xml:space="preserve">автономного округа </w:t>
      </w:r>
      <w:r>
        <w:rPr>
          <w:sz w:val="28"/>
          <w:szCs w:val="28"/>
        </w:rPr>
        <w:t xml:space="preserve">– Югры «Институт развития образования» </w:t>
      </w:r>
      <w:r>
        <w:rPr>
          <w:rStyle w:val="911"/>
        </w:rPr>
        <w:t xml:space="preserve">– организации, уполномоченной осуществлять функции «Регионального</w:t>
      </w:r>
      <w:r>
        <w:rPr>
          <w:rStyle w:val="911"/>
        </w:rPr>
        <w:t xml:space="preserve"> центра обработки информации», в целях развития и усовершенст</w:t>
      </w:r>
      <w:r>
        <w:rPr>
          <w:rStyle w:val="911"/>
        </w:rPr>
        <w:t xml:space="preserve">вования Системы для обеспечения возможности ее использования при подаче заявлений на участие </w:t>
        <w:br/>
        <w:t xml:space="preserve">в написании итогового сочинения (изложения) в дополнительные даты </w:t>
        <w:br/>
        <w:t xml:space="preserve">в 2025/2026 учебном году, в 2026/2027 учебном году и на прохождение ГИА-11 в 2026 учебном году;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rStyle w:val="911"/>
          <w:highlight w:val="none"/>
        </w:rPr>
        <w:t xml:space="preserve">иные необходимые действия, возникающие в ходе использования</w:t>
      </w:r>
      <w:r>
        <w:rPr>
          <w:rStyle w:val="911"/>
          <w:highlight w:val="none"/>
        </w:rPr>
        <w:t xml:space="preserve"> Си</w:t>
      </w:r>
      <w:r>
        <w:rPr>
          <w:rStyle w:val="911"/>
          <w:highlight w:val="none"/>
        </w:rPr>
        <w:t xml:space="preserve">стемы при подаче заявлений на участие в написании итогового сочинения (изложения) в 2025/2026 учебном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680" w:right="1276" w:bottom="709" w:left="1559" w:header="720" w:footer="720" w:gutter="0"/>
      <w:pgNumType w:start="7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fldSimple w:instr="PAGE \* MERGEFORMAT">
      <w:r>
        <w:t xml:space="preserve">1</w:t>
      </w:r>
    </w:fldSimple>
    <w:r/>
    <w:r/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separate"/>
    </w:r>
    <w:r>
      <w:rPr>
        <w:rStyle w:val="943"/>
      </w:rPr>
      <w:t xml:space="preserve">24</w: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3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1 Char"/>
    <w:basedOn w:val="908"/>
    <w:link w:val="902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908"/>
    <w:link w:val="903"/>
    <w:uiPriority w:val="9"/>
    <w:rPr>
      <w:rFonts w:ascii="Arial" w:hAnsi="Arial" w:eastAsia="Arial" w:cs="Arial"/>
      <w:sz w:val="34"/>
    </w:rPr>
  </w:style>
  <w:style w:type="character" w:styleId="741">
    <w:name w:val="Heading 3 Char"/>
    <w:basedOn w:val="908"/>
    <w:link w:val="904"/>
    <w:uiPriority w:val="9"/>
    <w:rPr>
      <w:rFonts w:ascii="Arial" w:hAnsi="Arial" w:eastAsia="Arial" w:cs="Arial"/>
      <w:sz w:val="30"/>
      <w:szCs w:val="30"/>
    </w:rPr>
  </w:style>
  <w:style w:type="character" w:styleId="742">
    <w:name w:val="Heading 4 Char"/>
    <w:basedOn w:val="908"/>
    <w:link w:val="90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>
    <w:name w:val="Heading 5 Char"/>
    <w:basedOn w:val="908"/>
    <w:link w:val="906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908"/>
    <w:link w:val="9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01"/>
    <w:next w:val="90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08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01"/>
    <w:next w:val="90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08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>
    <w:name w:val="Title Char"/>
    <w:basedOn w:val="908"/>
    <w:link w:val="927"/>
    <w:uiPriority w:val="10"/>
    <w:rPr>
      <w:sz w:val="48"/>
      <w:szCs w:val="48"/>
    </w:rPr>
  </w:style>
  <w:style w:type="paragraph" w:styleId="752">
    <w:name w:val="Subtitle"/>
    <w:basedOn w:val="901"/>
    <w:next w:val="901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8"/>
    <w:link w:val="752"/>
    <w:uiPriority w:val="11"/>
    <w:rPr>
      <w:sz w:val="24"/>
      <w:szCs w:val="24"/>
    </w:rPr>
  </w:style>
  <w:style w:type="paragraph" w:styleId="754">
    <w:name w:val="Quote"/>
    <w:basedOn w:val="901"/>
    <w:next w:val="901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1"/>
    <w:next w:val="901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8"/>
    <w:link w:val="933"/>
    <w:uiPriority w:val="99"/>
  </w:style>
  <w:style w:type="character" w:styleId="759">
    <w:name w:val="Footer Char"/>
    <w:basedOn w:val="908"/>
    <w:link w:val="935"/>
    <w:uiPriority w:val="99"/>
  </w:style>
  <w:style w:type="paragraph" w:styleId="760">
    <w:name w:val="Caption"/>
    <w:basedOn w:val="901"/>
    <w:next w:val="901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35"/>
    <w:uiPriority w:val="99"/>
  </w:style>
  <w:style w:type="table" w:styleId="762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Footnote Text Char"/>
    <w:link w:val="952"/>
    <w:uiPriority w:val="99"/>
    <w:rPr>
      <w:sz w:val="18"/>
    </w:rPr>
  </w:style>
  <w:style w:type="character" w:styleId="888">
    <w:name w:val="Endnote Text Char"/>
    <w:link w:val="969"/>
    <w:uiPriority w:val="99"/>
    <w:rPr>
      <w:sz w:val="20"/>
    </w:rPr>
  </w:style>
  <w:style w:type="character" w:styleId="889">
    <w:name w:val="endnote reference"/>
    <w:basedOn w:val="908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  <w:rPr>
      <w:rFonts w:ascii="Times New Roman" w:hAnsi="Times New Roman" w:eastAsia="Times New Roman"/>
    </w:rPr>
  </w:style>
  <w:style w:type="paragraph" w:styleId="902">
    <w:name w:val="Heading 1"/>
    <w:basedOn w:val="901"/>
    <w:next w:val="901"/>
    <w:link w:val="911"/>
    <w:qFormat/>
    <w:pPr>
      <w:keepNext/>
      <w:outlineLvl w:val="0"/>
    </w:pPr>
    <w:rPr>
      <w:sz w:val="28"/>
      <w:szCs w:val="24"/>
    </w:rPr>
  </w:style>
  <w:style w:type="paragraph" w:styleId="903">
    <w:name w:val="Heading 2"/>
    <w:basedOn w:val="901"/>
    <w:next w:val="901"/>
    <w:link w:val="91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4">
    <w:name w:val="Heading 3"/>
    <w:basedOn w:val="901"/>
    <w:next w:val="90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5">
    <w:name w:val="Heading 4"/>
    <w:basedOn w:val="901"/>
    <w:next w:val="901"/>
    <w:qFormat/>
    <w:pPr>
      <w:keepNext/>
      <w:outlineLvl w:val="3"/>
    </w:pPr>
    <w:rPr>
      <w:b/>
      <w:bCs/>
      <w:sz w:val="28"/>
      <w:szCs w:val="24"/>
    </w:rPr>
  </w:style>
  <w:style w:type="paragraph" w:styleId="906">
    <w:name w:val="Heading 5"/>
    <w:basedOn w:val="901"/>
    <w:next w:val="901"/>
    <w:qFormat/>
    <w:pPr>
      <w:jc w:val="center"/>
      <w:keepNext/>
      <w:outlineLvl w:val="4"/>
    </w:pPr>
    <w:rPr>
      <w:i/>
      <w:sz w:val="24"/>
      <w:szCs w:val="24"/>
    </w:rPr>
  </w:style>
  <w:style w:type="paragraph" w:styleId="907">
    <w:name w:val="Heading 7"/>
    <w:basedOn w:val="901"/>
    <w:next w:val="901"/>
    <w:qFormat/>
    <w:pPr>
      <w:spacing w:before="240" w:after="60"/>
      <w:outlineLvl w:val="6"/>
    </w:pPr>
    <w:rPr>
      <w:sz w:val="24"/>
      <w:szCs w:val="24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character" w:styleId="911" w:customStyle="1">
    <w:name w:val="Заголовок 1 Знак"/>
    <w:link w:val="902"/>
    <w:rPr>
      <w:rFonts w:ascii="Times New Roman" w:hAnsi="Times New Roman" w:eastAsia="Times New Roman"/>
      <w:sz w:val="28"/>
      <w:szCs w:val="24"/>
    </w:rPr>
  </w:style>
  <w:style w:type="character" w:styleId="912" w:customStyle="1">
    <w:name w:val="Заголовок 2 Знак"/>
    <w:link w:val="9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913">
    <w:name w:val="Balloon Text"/>
    <w:basedOn w:val="901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cs="Tahoma"/>
      <w:sz w:val="16"/>
      <w:szCs w:val="16"/>
    </w:rPr>
  </w:style>
  <w:style w:type="paragraph" w:styleId="915">
    <w:name w:val="E-mail Signature"/>
    <w:basedOn w:val="901"/>
    <w:link w:val="916"/>
    <w:uiPriority w:val="99"/>
    <w:semiHidden/>
    <w:unhideWhenUsed/>
    <w:rPr>
      <w:rFonts w:ascii="Calibri" w:hAnsi="Calibri"/>
      <w:sz w:val="22"/>
      <w:szCs w:val="22"/>
    </w:rPr>
  </w:style>
  <w:style w:type="character" w:styleId="916" w:customStyle="1">
    <w:name w:val="Электронная подпись Знак"/>
    <w:link w:val="915"/>
    <w:uiPriority w:val="99"/>
    <w:semiHidden/>
    <w:rPr>
      <w:rFonts w:ascii="Calibri" w:hAnsi="Calibri" w:eastAsia="Times New Roman" w:cs="Times New Roman"/>
      <w:lang w:eastAsia="ru-RU"/>
    </w:rPr>
  </w:style>
  <w:style w:type="paragraph" w:styleId="917" w:customStyle="1">
    <w:name w:val="Знак"/>
    <w:basedOn w:val="90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18">
    <w:name w:val="Table Grid"/>
    <w:basedOn w:val="90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Body Text Indent"/>
    <w:basedOn w:val="901"/>
    <w:pPr>
      <w:ind w:left="283"/>
      <w:spacing w:after="120"/>
    </w:pPr>
    <w:rPr>
      <w:sz w:val="24"/>
      <w:szCs w:val="24"/>
    </w:rPr>
  </w:style>
  <w:style w:type="paragraph" w:styleId="920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21">
    <w:name w:val="List Paragraph"/>
    <w:basedOn w:val="901"/>
    <w:link w:val="92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22" w:customStyle="1">
    <w:name w:val="Абзац списка Знак"/>
    <w:link w:val="921"/>
    <w:uiPriority w:val="34"/>
    <w:rPr>
      <w:rFonts w:eastAsia="Times New Roman"/>
      <w:sz w:val="22"/>
      <w:szCs w:val="22"/>
    </w:rPr>
  </w:style>
  <w:style w:type="paragraph" w:styleId="923">
    <w:name w:val="Body Text"/>
    <w:basedOn w:val="901"/>
    <w:link w:val="924"/>
    <w:uiPriority w:val="99"/>
    <w:pPr>
      <w:spacing w:after="120"/>
    </w:pPr>
  </w:style>
  <w:style w:type="character" w:styleId="924" w:customStyle="1">
    <w:name w:val="Основной текст Знак"/>
    <w:link w:val="923"/>
    <w:uiPriority w:val="99"/>
    <w:rPr>
      <w:rFonts w:ascii="Times New Roman" w:hAnsi="Times New Roman" w:eastAsia="Times New Roman"/>
    </w:rPr>
  </w:style>
  <w:style w:type="character" w:styleId="925">
    <w:name w:val="Hyperlink"/>
    <w:unhideWhenUsed/>
    <w:rPr>
      <w:color w:val="0000ff"/>
      <w:u w:val="single"/>
    </w:rPr>
  </w:style>
  <w:style w:type="character" w:styleId="926">
    <w:name w:val="FollowedHyperlink"/>
    <w:uiPriority w:val="99"/>
    <w:rPr>
      <w:color w:val="800080"/>
      <w:u w:val="single"/>
    </w:rPr>
  </w:style>
  <w:style w:type="paragraph" w:styleId="927">
    <w:name w:val="Title"/>
    <w:basedOn w:val="901"/>
    <w:qFormat/>
    <w:pPr>
      <w:jc w:val="center"/>
    </w:pPr>
    <w:rPr>
      <w:b/>
      <w:sz w:val="24"/>
      <w:szCs w:val="24"/>
    </w:rPr>
  </w:style>
  <w:style w:type="paragraph" w:styleId="928">
    <w:name w:val="Body Text Indent 2"/>
    <w:basedOn w:val="901"/>
    <w:pPr>
      <w:ind w:left="708"/>
      <w:jc w:val="both"/>
    </w:pPr>
    <w:rPr>
      <w:sz w:val="28"/>
      <w:szCs w:val="24"/>
    </w:rPr>
  </w:style>
  <w:style w:type="paragraph" w:styleId="929">
    <w:name w:val="Body Text Indent 3"/>
    <w:basedOn w:val="901"/>
    <w:pPr>
      <w:ind w:left="708" w:firstLine="709"/>
      <w:jc w:val="both"/>
    </w:pPr>
    <w:rPr>
      <w:sz w:val="28"/>
      <w:szCs w:val="24"/>
    </w:rPr>
  </w:style>
  <w:style w:type="paragraph" w:styleId="930">
    <w:name w:val="Body Text 2"/>
    <w:basedOn w:val="901"/>
    <w:pPr>
      <w:jc w:val="center"/>
    </w:pPr>
    <w:rPr>
      <w:bCs/>
      <w:sz w:val="28"/>
      <w:szCs w:val="24"/>
    </w:rPr>
  </w:style>
  <w:style w:type="character" w:styleId="931" w:customStyle="1">
    <w:name w:val="Заголовок 7 Знак"/>
    <w:rPr>
      <w:sz w:val="24"/>
      <w:szCs w:val="24"/>
    </w:rPr>
  </w:style>
  <w:style w:type="paragraph" w:styleId="932">
    <w:name w:val="Body Text 3"/>
    <w:basedOn w:val="901"/>
    <w:rPr>
      <w:sz w:val="24"/>
    </w:rPr>
  </w:style>
  <w:style w:type="paragraph" w:styleId="933">
    <w:name w:val="Header"/>
    <w:basedOn w:val="901"/>
    <w:link w:val="934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4" w:customStyle="1">
    <w:name w:val="Верхний колонтитул Знак"/>
    <w:basedOn w:val="908"/>
    <w:link w:val="933"/>
    <w:uiPriority w:val="99"/>
    <w:rPr>
      <w:rFonts w:ascii="Times New Roman" w:hAnsi="Times New Roman" w:eastAsia="Times New Roman"/>
      <w:sz w:val="28"/>
      <w:szCs w:val="24"/>
    </w:rPr>
  </w:style>
  <w:style w:type="paragraph" w:styleId="935">
    <w:name w:val="Footer"/>
    <w:basedOn w:val="901"/>
    <w:link w:val="93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6" w:customStyle="1">
    <w:name w:val="Нижний колонтитул Знак"/>
    <w:basedOn w:val="908"/>
    <w:link w:val="935"/>
    <w:uiPriority w:val="99"/>
    <w:rPr>
      <w:rFonts w:ascii="Times New Roman" w:hAnsi="Times New Roman" w:eastAsia="Times New Roman"/>
      <w:sz w:val="28"/>
      <w:szCs w:val="24"/>
    </w:rPr>
  </w:style>
  <w:style w:type="paragraph" w:styleId="937" w:customStyle="1">
    <w:name w:val="Знак1 Знак Знак Знак Знак Знак Знак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38" w:customStyle="1">
    <w:name w:val="Знак1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39" w:customStyle="1">
    <w:name w:val="Знак"/>
    <w:basedOn w:val="90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0">
    <w:name w:val="Plain Text"/>
    <w:basedOn w:val="901"/>
    <w:link w:val="941"/>
    <w:uiPriority w:val="99"/>
    <w:rPr>
      <w:rFonts w:ascii="Courier New" w:hAnsi="Courier New" w:cs="Courier New"/>
    </w:rPr>
  </w:style>
  <w:style w:type="character" w:styleId="941" w:customStyle="1">
    <w:name w:val="Текст Знак"/>
    <w:link w:val="940"/>
    <w:uiPriority w:val="99"/>
    <w:rPr>
      <w:rFonts w:ascii="Courier New" w:hAnsi="Courier New" w:cs="Courier New"/>
      <w:lang w:val="ru-RU" w:eastAsia="ru-RU" w:bidi="ar-SA"/>
    </w:rPr>
  </w:style>
  <w:style w:type="paragraph" w:styleId="942">
    <w:name w:val="Normal (Web)"/>
    <w:basedOn w:val="901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43">
    <w:name w:val="page number"/>
    <w:basedOn w:val="908"/>
  </w:style>
  <w:style w:type="paragraph" w:styleId="944" w:customStyle="1">
    <w:name w:val="Основной текст 21"/>
    <w:basedOn w:val="901"/>
    <w:pPr>
      <w:ind w:firstLine="360"/>
      <w:jc w:val="both"/>
    </w:pPr>
    <w:rPr>
      <w:sz w:val="24"/>
    </w:rPr>
  </w:style>
  <w:style w:type="paragraph" w:styleId="945" w:customStyle="1">
    <w:name w:val="Знак Знак Знак Знак Знак Знак Знак Знак Знак Знак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46" w:customStyle="1">
    <w:name w:val="Знак Знак Знак Знак"/>
    <w:basedOn w:val="90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7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948" w:customStyle="1">
    <w:name w:val="zagolovok"/>
    <w:basedOn w:val="908"/>
  </w:style>
  <w:style w:type="paragraph" w:styleId="949" w:customStyle="1">
    <w:name w:val="Char Char Char"/>
    <w:basedOn w:val="90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50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51" w:customStyle="1">
    <w:name w:val="Гипертекстовая ссылка"/>
    <w:uiPriority w:val="99"/>
    <w:rPr>
      <w:b/>
      <w:bCs/>
      <w:color w:val="106bbe"/>
    </w:rPr>
  </w:style>
  <w:style w:type="paragraph" w:styleId="952">
    <w:name w:val="footnote text"/>
    <w:basedOn w:val="901"/>
    <w:link w:val="953"/>
    <w:uiPriority w:val="99"/>
  </w:style>
  <w:style w:type="character" w:styleId="953" w:customStyle="1">
    <w:name w:val="Текст сноски Знак"/>
    <w:basedOn w:val="908"/>
    <w:link w:val="952"/>
    <w:uiPriority w:val="99"/>
    <w:rPr>
      <w:rFonts w:ascii="Times New Roman" w:hAnsi="Times New Roman" w:eastAsia="Times New Roman"/>
    </w:rPr>
  </w:style>
  <w:style w:type="character" w:styleId="954">
    <w:name w:val="footnote reference"/>
    <w:uiPriority w:val="99"/>
    <w:rPr>
      <w:vertAlign w:val="superscript"/>
    </w:rPr>
  </w:style>
  <w:style w:type="paragraph" w:styleId="955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95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57" w:customStyle="1">
    <w:name w:val="Основной текст (2)_"/>
    <w:basedOn w:val="908"/>
    <w:link w:val="958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958" w:customStyle="1">
    <w:name w:val="Основной текст (2)"/>
    <w:basedOn w:val="901"/>
    <w:link w:val="957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959" w:customStyle="1">
    <w:name w:val="Основной текст (2) + 19 pt"/>
    <w:basedOn w:val="957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60" w:customStyle="1">
    <w:name w:val="Основной текст (2) + 19 pt;Полужирный"/>
    <w:basedOn w:val="957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61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962" w:customStyle="1">
    <w:name w:val="Сетка таблицы11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Сетка таблицы2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Сетка таблицы3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5" w:customStyle="1">
    <w:name w:val="Сетка таблицы4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6" w:customStyle="1">
    <w:name w:val="Стандартный HTML Знак"/>
    <w:basedOn w:val="908"/>
    <w:link w:val="967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967">
    <w:name w:val="HTML Preformatted"/>
    <w:basedOn w:val="901"/>
    <w:link w:val="96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968" w:customStyle="1">
    <w:name w:val="Текст концевой сноски Знак"/>
    <w:basedOn w:val="908"/>
    <w:link w:val="969"/>
    <w:uiPriority w:val="99"/>
    <w:semiHidden/>
    <w:rPr>
      <w:rFonts w:ascii="Times New Roman" w:hAnsi="Times New Roman" w:eastAsia="Times New Roman"/>
    </w:rPr>
  </w:style>
  <w:style w:type="paragraph" w:styleId="969">
    <w:name w:val="endnote text"/>
    <w:basedOn w:val="901"/>
    <w:link w:val="968"/>
    <w:uiPriority w:val="99"/>
    <w:semiHidden/>
    <w:unhideWhenUsed/>
  </w:style>
  <w:style w:type="paragraph" w:styleId="970">
    <w:name w:val="No Spacing"/>
    <w:uiPriority w:val="1"/>
    <w:qFormat/>
    <w:rPr>
      <w:rFonts w:eastAsia="Times New Roman"/>
      <w:sz w:val="22"/>
      <w:szCs w:val="22"/>
    </w:rPr>
  </w:style>
  <w:style w:type="paragraph" w:styleId="971" w:customStyle="1">
    <w:name w:val="Знак Знак Знак Знак Знак Знак Знак Знак Знак Знак Знак Знак Знак Знак Знак Знак Знак Знак Знак Знак Знак Знак"/>
    <w:basedOn w:val="90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2" w:customStyle="1">
    <w:name w:val="msonormal_mr_css_attr"/>
    <w:basedOn w:val="901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973" w:customStyle="1">
    <w:name w:val="Сетка таблицы1"/>
    <w:basedOn w:val="909"/>
    <w:next w:val="918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4">
    <w:name w:val="annotation reference"/>
    <w:basedOn w:val="908"/>
    <w:uiPriority w:val="99"/>
    <w:semiHidden/>
    <w:unhideWhenUsed/>
    <w:rPr>
      <w:sz w:val="16"/>
      <w:szCs w:val="16"/>
    </w:rPr>
  </w:style>
  <w:style w:type="paragraph" w:styleId="975">
    <w:name w:val="annotation text"/>
    <w:basedOn w:val="901"/>
    <w:link w:val="976"/>
    <w:uiPriority w:val="99"/>
    <w:semiHidden/>
    <w:unhideWhenUsed/>
  </w:style>
  <w:style w:type="character" w:styleId="976" w:customStyle="1">
    <w:name w:val="Текст примечания Знак"/>
    <w:basedOn w:val="908"/>
    <w:link w:val="975"/>
    <w:uiPriority w:val="99"/>
    <w:semiHidden/>
    <w:rPr>
      <w:rFonts w:ascii="Times New Roman" w:hAnsi="Times New Roman" w:eastAsia="Times New Roman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rPr>
      <w:b/>
      <w:bCs/>
    </w:rPr>
  </w:style>
  <w:style w:type="character" w:styleId="978" w:customStyle="1">
    <w:name w:val="Тема примечания Знак"/>
    <w:basedOn w:val="976"/>
    <w:link w:val="977"/>
    <w:uiPriority w:val="99"/>
    <w:semiHidden/>
    <w:rPr>
      <w:rFonts w:ascii="Times New Roman" w:hAnsi="Times New Roman" w:eastAsia="Times New Roman"/>
      <w:b/>
      <w:bCs/>
    </w:rPr>
  </w:style>
  <w:style w:type="character" w:styleId="979" w:customStyle="1">
    <w:name w:val="Основной текст_"/>
    <w:basedOn w:val="908"/>
    <w:link w:val="98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80" w:customStyle="1">
    <w:name w:val="Основной текст1"/>
    <w:basedOn w:val="901"/>
    <w:link w:val="979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981" w:customStyle="1">
    <w:name w:val="Основной текст + 11;5 pt"/>
    <w:basedOn w:val="979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82" w:customStyle="1">
    <w:name w:val="Основной текст (3)_"/>
    <w:basedOn w:val="908"/>
    <w:link w:val="983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983" w:customStyle="1">
    <w:name w:val="Основной текст (3)"/>
    <w:basedOn w:val="901"/>
    <w:link w:val="982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984" w:customStyle="1">
    <w:name w:val="Основной текст + 11 pt;Полужирный"/>
    <w:basedOn w:val="979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985" w:customStyle="1">
    <w:name w:val="Основной текст + 11;5 pt;Курсив"/>
    <w:basedOn w:val="979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986" w:customStyle="1">
    <w:name w:val="Основной текст + Sylfaen;8 pt"/>
    <w:basedOn w:val="979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styleId="987" w:customStyle="1">
    <w:name w:val="layout"/>
  </w:style>
  <w:style w:type="paragraph" w:styleId="988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Обычный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26</cp:revision>
  <dcterms:created xsi:type="dcterms:W3CDTF">2022-10-26T10:59:00Z</dcterms:created>
  <dcterms:modified xsi:type="dcterms:W3CDTF">2025-10-28T14:22:46Z</dcterms:modified>
</cp:coreProperties>
</file>